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D417" w14:textId="7AEC3DEB" w:rsidR="00132E10" w:rsidRPr="00804935" w:rsidRDefault="00804935" w:rsidP="00804935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Dark Peak Fell Runners</w:t>
      </w:r>
    </w:p>
    <w:p w14:paraId="54105C4D" w14:textId="12B1E099" w:rsidR="00804935" w:rsidRP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4D021344" w14:textId="13B0A206" w:rsidR="00804935" w:rsidRDefault="00804935" w:rsidP="00804935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Finance Report for the year to 31</w:t>
      </w:r>
      <w:r w:rsidRPr="00804935">
        <w:rPr>
          <w:rFonts w:ascii="Arial" w:hAnsi="Arial" w:cs="Arial"/>
          <w:u w:val="single"/>
          <w:vertAlign w:val="superscript"/>
        </w:rPr>
        <w:t>st</w:t>
      </w:r>
      <w:r w:rsidRPr="00804935">
        <w:rPr>
          <w:rFonts w:ascii="Arial" w:hAnsi="Arial" w:cs="Arial"/>
          <w:u w:val="single"/>
        </w:rPr>
        <w:t xml:space="preserve"> December 202</w:t>
      </w:r>
      <w:r w:rsidR="0067156F">
        <w:rPr>
          <w:rFonts w:ascii="Arial" w:hAnsi="Arial" w:cs="Arial"/>
          <w:u w:val="single"/>
        </w:rPr>
        <w:t>1</w:t>
      </w:r>
    </w:p>
    <w:p w14:paraId="2C47C340" w14:textId="581A3189" w:rsid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7FEB32F3" w14:textId="746B444B" w:rsidR="00804935" w:rsidRDefault="0067156F" w:rsidP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Another </w:t>
      </w:r>
      <w:r w:rsidR="00804935" w:rsidRPr="00804935">
        <w:rPr>
          <w:rFonts w:ascii="Arial" w:hAnsi="Arial" w:cs="Arial"/>
        </w:rPr>
        <w:t>quiet year</w:t>
      </w:r>
      <w:r>
        <w:rPr>
          <w:rFonts w:ascii="Arial" w:hAnsi="Arial" w:cs="Arial"/>
        </w:rPr>
        <w:t xml:space="preserve"> in 2021</w:t>
      </w:r>
      <w:r w:rsidR="0080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no DPFR involvement in event organisation thereby reducing any financial activity and performance compared to pre-covid times </w:t>
      </w:r>
    </w:p>
    <w:p w14:paraId="48975F04" w14:textId="72250700" w:rsidR="00804935" w:rsidRDefault="00804935" w:rsidP="00804935">
      <w:pPr>
        <w:rPr>
          <w:rFonts w:ascii="Arial" w:hAnsi="Arial" w:cs="Arial"/>
        </w:rPr>
      </w:pPr>
    </w:p>
    <w:p w14:paraId="5DB678DD" w14:textId="62D864A7" w:rsidR="00804935" w:rsidRDefault="00C12FD6" w:rsidP="0080493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4935">
        <w:rPr>
          <w:rFonts w:ascii="Arial" w:hAnsi="Arial" w:cs="Arial"/>
        </w:rPr>
        <w:t>embership fees received</w:t>
      </w:r>
      <w:r>
        <w:rPr>
          <w:rFonts w:ascii="Arial" w:hAnsi="Arial" w:cs="Arial"/>
        </w:rPr>
        <w:t xml:space="preserve"> were,</w:t>
      </w:r>
      <w:r w:rsidR="0080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804935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 xml:space="preserve">, </w:t>
      </w:r>
      <w:r w:rsidR="00804935">
        <w:rPr>
          <w:rFonts w:ascii="Arial" w:hAnsi="Arial" w:cs="Arial"/>
        </w:rPr>
        <w:t>£</w:t>
      </w:r>
      <w:r>
        <w:rPr>
          <w:rFonts w:ascii="Arial" w:hAnsi="Arial" w:cs="Arial"/>
        </w:rPr>
        <w:t xml:space="preserve">6,193 (2020: £5,221) </w:t>
      </w:r>
      <w:r w:rsidR="00804935">
        <w:rPr>
          <w:rFonts w:ascii="Arial" w:hAnsi="Arial" w:cs="Arial"/>
        </w:rPr>
        <w:t>from nearly 4</w:t>
      </w:r>
      <w:r>
        <w:rPr>
          <w:rFonts w:ascii="Arial" w:hAnsi="Arial" w:cs="Arial"/>
        </w:rPr>
        <w:t>20 (2020: c.400)</w:t>
      </w:r>
      <w:r w:rsidR="00804935">
        <w:rPr>
          <w:rFonts w:ascii="Arial" w:hAnsi="Arial" w:cs="Arial"/>
        </w:rPr>
        <w:t xml:space="preserve"> members.  Out of this we paid</w:t>
      </w:r>
      <w:r>
        <w:rPr>
          <w:rFonts w:ascii="Arial" w:hAnsi="Arial" w:cs="Arial"/>
        </w:rPr>
        <w:t xml:space="preserve"> £1,245 (2020: £1,050)</w:t>
      </w:r>
      <w:r w:rsidR="00804935">
        <w:rPr>
          <w:rFonts w:ascii="Arial" w:hAnsi="Arial" w:cs="Arial"/>
        </w:rPr>
        <w:t xml:space="preserve"> for subscriptions to England Athletics.</w:t>
      </w:r>
      <w:r>
        <w:rPr>
          <w:rFonts w:ascii="Arial" w:hAnsi="Arial" w:cs="Arial"/>
        </w:rPr>
        <w:t xml:space="preserve">  The increase in income of 19% does not equate to only 5% membership</w:t>
      </w:r>
      <w:r w:rsidR="003E6E9D">
        <w:rPr>
          <w:rFonts w:ascii="Arial" w:hAnsi="Arial" w:cs="Arial"/>
        </w:rPr>
        <w:t xml:space="preserve"> numbers.  I can only assume that this is due to a change in profile where current members are paying full fees where we have lost some of the lower fee membership.  I don’t have the relevant data to confirm this one way or the other.</w:t>
      </w:r>
    </w:p>
    <w:p w14:paraId="5BA14750" w14:textId="77777777" w:rsidR="00804935" w:rsidRDefault="00804935">
      <w:pPr>
        <w:rPr>
          <w:rFonts w:ascii="Arial" w:hAnsi="Arial" w:cs="Arial"/>
        </w:rPr>
      </w:pPr>
    </w:p>
    <w:p w14:paraId="2929E8B7" w14:textId="09339339" w:rsidR="007B69E8" w:rsidRDefault="003E6E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DPFR entered teams into the </w:t>
      </w:r>
      <w:proofErr w:type="spellStart"/>
      <w:r>
        <w:rPr>
          <w:rFonts w:ascii="Arial" w:hAnsi="Arial" w:cs="Arial"/>
        </w:rPr>
        <w:t>Hodgsons</w:t>
      </w:r>
      <w:proofErr w:type="spellEnd"/>
      <w:r>
        <w:rPr>
          <w:rFonts w:ascii="Arial" w:hAnsi="Arial" w:cs="Arial"/>
        </w:rPr>
        <w:t xml:space="preserve"> and the British Fell Relays.  All entry fees were paid for by the club with no additional expenses claimed by the participants who it must be assumed have generously </w:t>
      </w:r>
      <w:r w:rsidR="00376D61">
        <w:rPr>
          <w:rFonts w:ascii="Arial" w:hAnsi="Arial" w:cs="Arial"/>
        </w:rPr>
        <w:t>bourn these costs themselves.</w:t>
      </w:r>
      <w:r>
        <w:rPr>
          <w:rFonts w:ascii="Arial" w:hAnsi="Arial" w:cs="Arial"/>
        </w:rPr>
        <w:t xml:space="preserve"> </w:t>
      </w:r>
    </w:p>
    <w:p w14:paraId="741F621F" w14:textId="77777777" w:rsidR="003E6E9D" w:rsidRDefault="003E6E9D">
      <w:pPr>
        <w:rPr>
          <w:rFonts w:ascii="Arial" w:hAnsi="Arial" w:cs="Arial"/>
        </w:rPr>
      </w:pPr>
    </w:p>
    <w:p w14:paraId="79BA98BE" w14:textId="38E75238" w:rsidR="00376D61" w:rsidRDefault="007B69E8">
      <w:pPr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376D61">
        <w:rPr>
          <w:rFonts w:ascii="Arial" w:hAnsi="Arial" w:cs="Arial"/>
        </w:rPr>
        <w:t>224</w:t>
      </w:r>
      <w:r>
        <w:rPr>
          <w:rFonts w:ascii="Arial" w:hAnsi="Arial" w:cs="Arial"/>
        </w:rPr>
        <w:t xml:space="preserve"> of kit was purchased</w:t>
      </w:r>
      <w:r w:rsidR="00900119">
        <w:rPr>
          <w:rFonts w:ascii="Arial" w:hAnsi="Arial" w:cs="Arial"/>
        </w:rPr>
        <w:t xml:space="preserve"> with</w:t>
      </w:r>
      <w:r w:rsidR="00376D61">
        <w:rPr>
          <w:rFonts w:ascii="Arial" w:hAnsi="Arial" w:cs="Arial"/>
        </w:rPr>
        <w:t xml:space="preserve"> income received of £449.  The excess of income over expenditure arises because we do not account for stock of kit</w:t>
      </w:r>
      <w:r w:rsidR="00CE31D3">
        <w:rPr>
          <w:rFonts w:ascii="Arial" w:hAnsi="Arial" w:cs="Arial"/>
        </w:rPr>
        <w:t xml:space="preserve"> in our balance sheet but instead, write off purchases as they occur.</w:t>
      </w:r>
    </w:p>
    <w:p w14:paraId="3A36A18B" w14:textId="77777777" w:rsidR="00CE31D3" w:rsidRDefault="00CE31D3">
      <w:pPr>
        <w:rPr>
          <w:rFonts w:ascii="Arial" w:hAnsi="Arial" w:cs="Arial"/>
        </w:rPr>
      </w:pPr>
    </w:p>
    <w:p w14:paraId="4B7DAED0" w14:textId="46B81650" w:rsidR="007B69E8" w:rsidRDefault="007B6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CE31D3">
        <w:rPr>
          <w:rFonts w:ascii="Arial" w:hAnsi="Arial" w:cs="Arial"/>
        </w:rPr>
        <w:t>a couple of</w:t>
      </w:r>
      <w:r>
        <w:rPr>
          <w:rFonts w:ascii="Arial" w:hAnsi="Arial" w:cs="Arial"/>
        </w:rPr>
        <w:t xml:space="preserve"> incidental expenses</w:t>
      </w:r>
      <w:r w:rsidR="00CE31D3">
        <w:rPr>
          <w:rFonts w:ascii="Arial" w:hAnsi="Arial" w:cs="Arial"/>
        </w:rPr>
        <w:t>, £77 for a club flag and £85 for a 1</w:t>
      </w:r>
      <w:r w:rsidR="00CE31D3" w:rsidRPr="00CE31D3">
        <w:rPr>
          <w:rFonts w:ascii="Arial" w:hAnsi="Arial" w:cs="Arial"/>
          <w:vertAlign w:val="superscript"/>
        </w:rPr>
        <w:t>st</w:t>
      </w:r>
      <w:r w:rsidR="00CE31D3">
        <w:rPr>
          <w:rFonts w:ascii="Arial" w:hAnsi="Arial" w:cs="Arial"/>
        </w:rPr>
        <w:t xml:space="preserve"> Aid course for Richard Hakes.  There was then the final depreciation charge </w:t>
      </w:r>
      <w:r>
        <w:rPr>
          <w:rFonts w:ascii="Arial" w:hAnsi="Arial" w:cs="Arial"/>
        </w:rPr>
        <w:t>of £112</w:t>
      </w:r>
      <w:r w:rsidR="00CE31D3">
        <w:rPr>
          <w:rFonts w:ascii="Arial" w:hAnsi="Arial" w:cs="Arial"/>
        </w:rPr>
        <w:t xml:space="preserve"> which is a non-cash transaction</w:t>
      </w:r>
      <w:r>
        <w:rPr>
          <w:rFonts w:ascii="Arial" w:hAnsi="Arial" w:cs="Arial"/>
        </w:rPr>
        <w:t>.</w:t>
      </w:r>
    </w:p>
    <w:p w14:paraId="1F3CCB3D" w14:textId="7A4DA445" w:rsidR="00CE31D3" w:rsidRDefault="00CE31D3">
      <w:pPr>
        <w:rPr>
          <w:rFonts w:ascii="Arial" w:hAnsi="Arial" w:cs="Arial"/>
        </w:rPr>
      </w:pPr>
    </w:p>
    <w:p w14:paraId="672C0B5C" w14:textId="684406CF" w:rsidR="007B69E8" w:rsidRDefault="00CE31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DPFR got back to holding an annual dinner which incurred a small loss of </w:t>
      </w:r>
      <w:r w:rsidR="00386CFD">
        <w:rPr>
          <w:rFonts w:ascii="Arial" w:hAnsi="Arial" w:cs="Arial"/>
        </w:rPr>
        <w:t xml:space="preserve">£81.  This was down to the club bearing the cost of some additional treats on the evening itself </w:t>
      </w:r>
      <w:proofErr w:type="gramStart"/>
      <w:r w:rsidR="00386CFD">
        <w:rPr>
          <w:rFonts w:ascii="Arial" w:hAnsi="Arial" w:cs="Arial"/>
        </w:rPr>
        <w:t>and also</w:t>
      </w:r>
      <w:proofErr w:type="gramEnd"/>
      <w:r w:rsidR="00386CFD">
        <w:rPr>
          <w:rFonts w:ascii="Arial" w:hAnsi="Arial" w:cs="Arial"/>
        </w:rPr>
        <w:t xml:space="preserve"> a complimentary ticket for our club president.</w:t>
      </w:r>
    </w:p>
    <w:p w14:paraId="3EBE847F" w14:textId="77777777" w:rsidR="00386CFD" w:rsidRDefault="00386CFD">
      <w:pPr>
        <w:rPr>
          <w:rFonts w:ascii="Arial" w:hAnsi="Arial" w:cs="Arial"/>
        </w:rPr>
      </w:pPr>
    </w:p>
    <w:p w14:paraId="69A9F7B5" w14:textId="7C243B79" w:rsidR="007B69E8" w:rsidRDefault="007B6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these resulted in a net </w:t>
      </w:r>
      <w:r w:rsidR="00386CFD">
        <w:rPr>
          <w:rFonts w:ascii="Arial" w:hAnsi="Arial" w:cs="Arial"/>
        </w:rPr>
        <w:t>surplus</w:t>
      </w:r>
      <w:r>
        <w:rPr>
          <w:rFonts w:ascii="Arial" w:hAnsi="Arial" w:cs="Arial"/>
        </w:rPr>
        <w:t xml:space="preserve"> for the year of £</w:t>
      </w:r>
      <w:r w:rsidR="00386CFD">
        <w:rPr>
          <w:rFonts w:ascii="Arial" w:hAnsi="Arial" w:cs="Arial"/>
        </w:rPr>
        <w:t>3,197</w:t>
      </w:r>
      <w:r w:rsidR="00260E31">
        <w:rPr>
          <w:rFonts w:ascii="Arial" w:hAnsi="Arial" w:cs="Arial"/>
        </w:rPr>
        <w:t xml:space="preserve"> (2020: loss </w:t>
      </w:r>
      <w:r w:rsidR="00D0416B">
        <w:rPr>
          <w:rFonts w:ascii="Arial" w:hAnsi="Arial" w:cs="Arial"/>
        </w:rPr>
        <w:t>£1,162)</w:t>
      </w:r>
      <w:r>
        <w:rPr>
          <w:rFonts w:ascii="Arial" w:hAnsi="Arial" w:cs="Arial"/>
        </w:rPr>
        <w:t xml:space="preserve"> which </w:t>
      </w:r>
      <w:r w:rsidR="00386CFD">
        <w:rPr>
          <w:rFonts w:ascii="Arial" w:hAnsi="Arial" w:cs="Arial"/>
        </w:rPr>
        <w:t xml:space="preserve">increases </w:t>
      </w:r>
      <w:r>
        <w:rPr>
          <w:rFonts w:ascii="Arial" w:hAnsi="Arial" w:cs="Arial"/>
        </w:rPr>
        <w:t>the total reserves from £</w:t>
      </w:r>
      <w:r w:rsidR="00386CFD">
        <w:rPr>
          <w:rFonts w:ascii="Arial" w:hAnsi="Arial" w:cs="Arial"/>
        </w:rPr>
        <w:t>19,241</w:t>
      </w:r>
      <w:r>
        <w:rPr>
          <w:rFonts w:ascii="Arial" w:hAnsi="Arial" w:cs="Arial"/>
        </w:rPr>
        <w:t xml:space="preserve"> last year to £</w:t>
      </w:r>
      <w:r w:rsidR="00386CFD">
        <w:rPr>
          <w:rFonts w:ascii="Arial" w:hAnsi="Arial" w:cs="Arial"/>
        </w:rPr>
        <w:t>22,438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31</w:t>
      </w:r>
      <w:r w:rsidRPr="007B69E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 202</w:t>
      </w:r>
      <w:r w:rsidR="00386CF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2788E20D" w14:textId="77777777" w:rsidR="007B69E8" w:rsidRDefault="007B69E8">
      <w:pPr>
        <w:rPr>
          <w:rFonts w:ascii="Arial" w:hAnsi="Arial" w:cs="Arial"/>
        </w:rPr>
      </w:pPr>
    </w:p>
    <w:p w14:paraId="7DC1F40A" w14:textId="170E9F95" w:rsidR="0051462E" w:rsidRDefault="00386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did agree to distribute </w:t>
      </w:r>
      <w:r w:rsidR="00260E31">
        <w:rPr>
          <w:rFonts w:ascii="Arial" w:hAnsi="Arial" w:cs="Arial"/>
        </w:rPr>
        <w:t xml:space="preserve">£1,000 </w:t>
      </w:r>
      <w:r>
        <w:rPr>
          <w:rFonts w:ascii="Arial" w:hAnsi="Arial" w:cs="Arial"/>
        </w:rPr>
        <w:t>more of the 2019 Re</w:t>
      </w:r>
      <w:r w:rsidR="00260E31">
        <w:rPr>
          <w:rFonts w:ascii="Arial" w:hAnsi="Arial" w:cs="Arial"/>
        </w:rPr>
        <w:t>lay</w:t>
      </w:r>
      <w:r>
        <w:rPr>
          <w:rFonts w:ascii="Arial" w:hAnsi="Arial" w:cs="Arial"/>
        </w:rPr>
        <w:t xml:space="preserve"> surplus to the Woodhead Mountain </w:t>
      </w:r>
      <w:r w:rsidR="00260E31">
        <w:rPr>
          <w:rFonts w:ascii="Arial" w:hAnsi="Arial" w:cs="Arial"/>
        </w:rPr>
        <w:t xml:space="preserve">Rescue vehicle appeal but this has not yet happened.  I am not sure how the fundraising has developed and whether a replacement vehicle was ever acquired.  I have not accounted for this, due to the uncertainty, and if the campaign moves </w:t>
      </w:r>
      <w:proofErr w:type="gramStart"/>
      <w:r w:rsidR="00260E31">
        <w:rPr>
          <w:rFonts w:ascii="Arial" w:hAnsi="Arial" w:cs="Arial"/>
        </w:rPr>
        <w:t>on</w:t>
      </w:r>
      <w:proofErr w:type="gramEnd"/>
      <w:r w:rsidR="00260E31">
        <w:rPr>
          <w:rFonts w:ascii="Arial" w:hAnsi="Arial" w:cs="Arial"/>
        </w:rPr>
        <w:t xml:space="preserve"> I will get back to the committee.</w:t>
      </w:r>
    </w:p>
    <w:p w14:paraId="0EE02FB4" w14:textId="77777777" w:rsidR="0051462E" w:rsidRDefault="0051462E">
      <w:pPr>
        <w:rPr>
          <w:rFonts w:ascii="Arial" w:hAnsi="Arial" w:cs="Arial"/>
        </w:rPr>
      </w:pPr>
    </w:p>
    <w:p w14:paraId="06712CA9" w14:textId="77777777" w:rsidR="0051462E" w:rsidRDefault="0051462E">
      <w:pPr>
        <w:rPr>
          <w:rFonts w:ascii="Arial" w:hAnsi="Arial" w:cs="Arial"/>
        </w:rPr>
      </w:pPr>
      <w:r>
        <w:rPr>
          <w:rFonts w:ascii="Arial" w:hAnsi="Arial" w:cs="Arial"/>
        </w:rPr>
        <w:t>David Arundale</w:t>
      </w:r>
    </w:p>
    <w:p w14:paraId="0A8AF599" w14:textId="1A110FA1" w:rsidR="0051462E" w:rsidRDefault="0051462E">
      <w:pPr>
        <w:rPr>
          <w:rFonts w:ascii="Arial" w:hAnsi="Arial" w:cs="Arial"/>
        </w:rPr>
      </w:pPr>
      <w:r>
        <w:rPr>
          <w:rFonts w:ascii="Arial" w:hAnsi="Arial" w:cs="Arial"/>
        </w:rPr>
        <w:t>Treasuruer</w:t>
      </w:r>
    </w:p>
    <w:p w14:paraId="1C05FD9A" w14:textId="166B15E4" w:rsidR="00804935" w:rsidRDefault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339988" w14:textId="4795B7BE" w:rsidR="00E801DA" w:rsidRDefault="00E801DA">
      <w:pPr>
        <w:rPr>
          <w:rFonts w:ascii="Arial" w:hAnsi="Arial" w:cs="Arial"/>
        </w:rPr>
      </w:pPr>
    </w:p>
    <w:p w14:paraId="55B6DCD9" w14:textId="06CF5054" w:rsidR="00E801DA" w:rsidRDefault="00B63A41">
      <w:pPr>
        <w:rPr>
          <w:rFonts w:ascii="Arial" w:hAnsi="Arial" w:cs="Arial"/>
        </w:rPr>
      </w:pPr>
      <w:r>
        <w:rPr>
          <w:rFonts w:ascii="Arial" w:hAnsi="Arial" w:cs="Arial"/>
        </w:rPr>
        <w:t>Enc. summary Income and Expenditure and Balance Sheet</w:t>
      </w:r>
    </w:p>
    <w:p w14:paraId="283E1287" w14:textId="70599178" w:rsidR="00E801DA" w:rsidRDefault="00E801DA">
      <w:pPr>
        <w:rPr>
          <w:rFonts w:ascii="Arial" w:hAnsi="Arial" w:cs="Arial"/>
        </w:rPr>
      </w:pPr>
    </w:p>
    <w:p w14:paraId="372E8CEC" w14:textId="0FE11BF8" w:rsidR="00E801DA" w:rsidRDefault="00E801DA">
      <w:pPr>
        <w:rPr>
          <w:rFonts w:ascii="Arial" w:hAnsi="Arial" w:cs="Arial"/>
        </w:rPr>
      </w:pPr>
    </w:p>
    <w:p w14:paraId="49FAB197" w14:textId="317BC60C" w:rsidR="00E801DA" w:rsidRDefault="00E801DA">
      <w:pPr>
        <w:rPr>
          <w:rFonts w:ascii="Arial" w:hAnsi="Arial" w:cs="Arial"/>
        </w:rPr>
      </w:pPr>
    </w:p>
    <w:p w14:paraId="74698C2E" w14:textId="1033A80A" w:rsidR="00E801DA" w:rsidRDefault="00E801DA">
      <w:pPr>
        <w:rPr>
          <w:rFonts w:ascii="Arial" w:hAnsi="Arial" w:cs="Arial"/>
        </w:rPr>
      </w:pPr>
    </w:p>
    <w:p w14:paraId="28C24DB1" w14:textId="412B52C5" w:rsidR="00E801DA" w:rsidRDefault="00E801DA">
      <w:pPr>
        <w:rPr>
          <w:rFonts w:ascii="Arial" w:hAnsi="Arial" w:cs="Arial"/>
        </w:rPr>
      </w:pPr>
    </w:p>
    <w:p w14:paraId="361336BE" w14:textId="1A27F570" w:rsidR="00E801DA" w:rsidRDefault="00E801DA">
      <w:pPr>
        <w:rPr>
          <w:rFonts w:ascii="Arial" w:hAnsi="Arial" w:cs="Arial"/>
        </w:rPr>
      </w:pPr>
    </w:p>
    <w:p w14:paraId="09FF7812" w14:textId="28AE0EBA" w:rsidR="00E801DA" w:rsidRDefault="00E801DA">
      <w:pPr>
        <w:rPr>
          <w:rFonts w:ascii="Arial" w:hAnsi="Arial" w:cs="Arial"/>
        </w:rPr>
      </w:pPr>
    </w:p>
    <w:p w14:paraId="3877B449" w14:textId="634C2FA1" w:rsidR="00E801DA" w:rsidRDefault="00E801DA">
      <w:pPr>
        <w:rPr>
          <w:rFonts w:ascii="Arial" w:hAnsi="Arial" w:cs="Arial"/>
        </w:rPr>
      </w:pPr>
    </w:p>
    <w:p w14:paraId="7CCC2EE4" w14:textId="402FE740" w:rsidR="00E801DA" w:rsidRDefault="00E801DA">
      <w:pPr>
        <w:rPr>
          <w:rFonts w:ascii="Arial" w:hAnsi="Arial" w:cs="Arial"/>
        </w:rPr>
      </w:pPr>
    </w:p>
    <w:p w14:paraId="08C756FF" w14:textId="626138D2" w:rsidR="00E801DA" w:rsidRDefault="00E801DA">
      <w:pPr>
        <w:rPr>
          <w:rFonts w:ascii="Arial" w:hAnsi="Arial" w:cs="Arial"/>
        </w:rPr>
      </w:pP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3384"/>
        <w:gridCol w:w="1591"/>
        <w:gridCol w:w="1616"/>
        <w:gridCol w:w="1688"/>
        <w:gridCol w:w="1591"/>
      </w:tblGrid>
      <w:tr w:rsidR="00E801DA" w14:paraId="025AC155" w14:textId="77777777" w:rsidTr="00E801DA">
        <w:tc>
          <w:tcPr>
            <w:tcW w:w="3336" w:type="dxa"/>
          </w:tcPr>
          <w:tbl>
            <w:tblPr>
              <w:tblW w:w="3168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E801DA" w14:paraId="5BD46C77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4EA7B" w14:textId="2F94BBB1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Year to 31/12/202</w:t>
                  </w:r>
                  <w:r w:rsidR="00260E31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</w:tr>
            <w:tr w:rsidR="00E801DA" w14:paraId="06D60AA5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1F94D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5CE6697A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2FF3B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Membership</w:t>
                  </w:r>
                </w:p>
              </w:tc>
            </w:tr>
            <w:tr w:rsidR="00E801DA" w14:paraId="78F574E4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94E81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Edale</w:t>
                  </w:r>
                  <w:proofErr w:type="spellEnd"/>
                </w:p>
              </w:tc>
            </w:tr>
            <w:tr w:rsidR="00E801DA" w14:paraId="33D55B59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23A59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Relays</w:t>
                  </w:r>
                </w:p>
              </w:tc>
            </w:tr>
            <w:tr w:rsidR="00E801DA" w14:paraId="7161D88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E3848" w14:textId="6BD1C053" w:rsidR="00E801DA" w:rsidRDefault="00D0416B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Club Dinner</w:t>
                  </w:r>
                </w:p>
              </w:tc>
            </w:tr>
            <w:tr w:rsidR="00E801DA" w14:paraId="70F604E1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D947B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Kit</w:t>
                  </w:r>
                </w:p>
              </w:tc>
            </w:tr>
            <w:tr w:rsidR="00E801DA" w14:paraId="342F1F3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60F8B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Other races</w:t>
                  </w:r>
                </w:p>
              </w:tc>
            </w:tr>
            <w:tr w:rsidR="00E801DA" w14:paraId="17E8A276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E358A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Other expenses</w:t>
                  </w:r>
                </w:p>
              </w:tc>
            </w:tr>
            <w:tr w:rsidR="00E801DA" w14:paraId="5D609193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D4C9A" w14:textId="549FF773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Depreciation (non</w:t>
                  </w:r>
                  <w:r w:rsidR="00343C47">
                    <w:rPr>
                      <w:rFonts w:ascii="Calibri" w:hAnsi="Calibri" w:cs="Calibri"/>
                      <w:color w:val="000000"/>
                    </w:rPr>
                    <w:t>-</w:t>
                  </w:r>
                  <w:r>
                    <w:rPr>
                      <w:rFonts w:ascii="Calibri" w:hAnsi="Calibri" w:cs="Calibri"/>
                      <w:color w:val="000000"/>
                    </w:rPr>
                    <w:t>cash)</w:t>
                  </w:r>
                </w:p>
              </w:tc>
            </w:tr>
          </w:tbl>
          <w:p w14:paraId="1D7B5FDD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E801DA" w14:paraId="23867D8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5F64A" w14:textId="69E3D562" w:rsidR="00E801DA" w:rsidRDefault="00E801DA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Income</w:t>
                  </w:r>
                </w:p>
              </w:tc>
            </w:tr>
            <w:tr w:rsidR="00E801DA" w14:paraId="755676CA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B700C" w14:textId="77777777" w:rsidR="00E801DA" w:rsidRDefault="00E801DA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64FA902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81C18" w14:textId="647E0C4E" w:rsidR="00E801DA" w:rsidRDefault="00D0416B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6,193</w:t>
                  </w:r>
                  <w:r w:rsidR="00E801DA">
                    <w:rPr>
                      <w:rFonts w:ascii="Calibri" w:hAnsi="Calibri" w:cs="Calibri"/>
                      <w:color w:val="000000"/>
                    </w:rPr>
                    <w:t>.00</w:t>
                  </w:r>
                </w:p>
              </w:tc>
            </w:tr>
            <w:tr w:rsidR="00E801DA" w14:paraId="088C3326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9BE73" w14:textId="65E24F19" w:rsidR="00E801DA" w:rsidRDefault="0032654F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6F7CA37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2E58A" w14:textId="7AA3763B" w:rsidR="00E801DA" w:rsidRDefault="009A5FAB" w:rsidP="00C04AE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801DA" w14:paraId="3127E6D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7FF3F" w14:textId="0D0673DD" w:rsidR="00E801DA" w:rsidRPr="00D0416B" w:rsidRDefault="00D0416B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D0416B">
                    <w:rPr>
                      <w:rFonts w:ascii="Calibri" w:hAnsi="Calibri" w:cs="Calibri"/>
                      <w:color w:val="000000"/>
                    </w:rPr>
                    <w:t>1,300.00</w:t>
                  </w:r>
                </w:p>
              </w:tc>
            </w:tr>
            <w:tr w:rsidR="00E801DA" w14:paraId="472877F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F5623" w14:textId="52AB0844" w:rsidR="00E801DA" w:rsidRDefault="00C04AE2" w:rsidP="00C04AE2">
                  <w:pPr>
                    <w:jc w:val="right"/>
                    <w:rPr>
                      <w:sz w:val="20"/>
                      <w:szCs w:val="20"/>
                    </w:rPr>
                  </w:pPr>
                  <w:r w:rsidRPr="00C04AE2">
                    <w:rPr>
                      <w:rFonts w:ascii="Calibri" w:hAnsi="Calibri" w:cs="Calibri"/>
                      <w:color w:val="000000"/>
                    </w:rPr>
                    <w:t>449.00</w:t>
                  </w:r>
                </w:p>
              </w:tc>
            </w:tr>
            <w:tr w:rsidR="00E801DA" w14:paraId="7505D39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F5D93" w14:textId="6D347299" w:rsidR="00E801DA" w:rsidRDefault="0032654F" w:rsidP="00C04AE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801DA" w14:paraId="6810312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396E1" w14:textId="6BFBA261" w:rsidR="00E801DA" w:rsidRDefault="009A5FAB" w:rsidP="00C04AE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801DA" w14:paraId="64993AF6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A3893" w14:textId="7E4B4F52" w:rsidR="00E801DA" w:rsidRDefault="009A5FAB" w:rsidP="00C04AE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801DA" w14:paraId="44FAC80A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7EE38" w14:textId="7281F2C4" w:rsidR="00E801DA" w:rsidRDefault="00C04AE2" w:rsidP="00C04AE2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7,942</w:t>
                  </w:r>
                  <w:r w:rsidR="00E801DA">
                    <w:rPr>
                      <w:rFonts w:ascii="Calibri" w:hAnsi="Calibri" w:cs="Calibri"/>
                      <w:color w:val="000000"/>
                    </w:rPr>
                    <w:t>.00</w:t>
                  </w:r>
                </w:p>
              </w:tc>
            </w:tr>
          </w:tbl>
          <w:p w14:paraId="21195A88" w14:textId="77777777" w:rsidR="00E801DA" w:rsidRDefault="00E801DA" w:rsidP="00C04A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400"/>
            </w:tblGrid>
            <w:tr w:rsidR="00E801DA" w14:paraId="0ACCACB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AF7AE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Expenditure </w:t>
                  </w:r>
                </w:p>
              </w:tc>
            </w:tr>
            <w:tr w:rsidR="00E801DA" w14:paraId="4056BD4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A0460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241AE531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9186D" w14:textId="5C44272F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(1,</w:t>
                  </w:r>
                  <w:r w:rsidR="00D0416B">
                    <w:rPr>
                      <w:rFonts w:ascii="Calibri" w:hAnsi="Calibri" w:cs="Calibri"/>
                      <w:color w:val="000000"/>
                    </w:rPr>
                    <w:t>245</w:t>
                  </w:r>
                  <w:r>
                    <w:rPr>
                      <w:rFonts w:ascii="Calibri" w:hAnsi="Calibri" w:cs="Calibri"/>
                      <w:color w:val="000000"/>
                    </w:rPr>
                    <w:t>.00)</w:t>
                  </w:r>
                </w:p>
              </w:tc>
            </w:tr>
            <w:tr w:rsidR="00E801DA" w14:paraId="7C218B1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7493D" w14:textId="36015C08" w:rsidR="00E801DA" w:rsidRDefault="00E801DA" w:rsidP="0032654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</w:t>
                  </w:r>
                  <w:r w:rsidR="0032654F"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4C90143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1DAB5" w14:textId="11DB91DB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</w:t>
                  </w:r>
                  <w:r w:rsidR="00D0416B">
                    <w:rPr>
                      <w:rFonts w:ascii="Calibri" w:hAnsi="Calibri" w:cs="Calibri"/>
                      <w:color w:val="000000"/>
                    </w:rPr>
                    <w:t>(1,620.00)</w:t>
                  </w:r>
                </w:p>
              </w:tc>
            </w:tr>
            <w:tr w:rsidR="00E801DA" w14:paraId="7BCCF154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4603D" w14:textId="0DFA26B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(</w:t>
                  </w:r>
                  <w:r w:rsidR="00C04AE2">
                    <w:rPr>
                      <w:rFonts w:ascii="Calibri" w:hAnsi="Calibri" w:cs="Calibri"/>
                      <w:color w:val="000000"/>
                    </w:rPr>
                    <w:t>1,381</w:t>
                  </w:r>
                  <w:r>
                    <w:rPr>
                      <w:rFonts w:ascii="Calibri" w:hAnsi="Calibri" w:cs="Calibri"/>
                      <w:color w:val="000000"/>
                    </w:rPr>
                    <w:t>.00)</w:t>
                  </w:r>
                </w:p>
              </w:tc>
            </w:tr>
            <w:tr w:rsidR="00E801DA" w14:paraId="0E8B92A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3164F" w14:textId="74240B44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(</w:t>
                  </w:r>
                  <w:r w:rsidR="00C04AE2">
                    <w:rPr>
                      <w:rFonts w:ascii="Calibri" w:hAnsi="Calibri" w:cs="Calibri"/>
                      <w:color w:val="000000"/>
                    </w:rPr>
                    <w:t>224.10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E801DA" w14:paraId="0E00A845" w14:textId="77777777" w:rsidTr="00C04AE2">
              <w:trPr>
                <w:trHeight w:val="19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665EB" w14:textId="101D53AB" w:rsidR="00E801DA" w:rsidRDefault="0032654F" w:rsidP="0032654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315CE69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41816" w14:textId="3375BD75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(</w:t>
                  </w:r>
                  <w:r w:rsidR="00C04AE2">
                    <w:rPr>
                      <w:rFonts w:ascii="Calibri" w:hAnsi="Calibri" w:cs="Calibri"/>
                      <w:color w:val="000000"/>
                    </w:rPr>
                    <w:t>162.00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E801DA" w14:paraId="389E5F5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756EB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(112.00)</w:t>
                  </w:r>
                </w:p>
              </w:tc>
            </w:tr>
            <w:tr w:rsidR="00E801DA" w14:paraId="6F088AC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BA07C" w14:textId="09A64A82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(</w:t>
                  </w:r>
                  <w:r w:rsidR="00C04AE2">
                    <w:rPr>
                      <w:rFonts w:ascii="Calibri" w:hAnsi="Calibri" w:cs="Calibri"/>
                      <w:color w:val="000000"/>
                    </w:rPr>
                    <w:t>4,744.10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</w:tbl>
          <w:p w14:paraId="64B2E48D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3DF6EA90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4915B06" w14:textId="77777777" w:rsidR="00E801DA" w:rsidRDefault="00E801DA">
            <w:pPr>
              <w:rPr>
                <w:rFonts w:ascii="Arial" w:hAnsi="Arial" w:cs="Arial"/>
              </w:rPr>
            </w:pPr>
          </w:p>
        </w:tc>
      </w:tr>
      <w:tr w:rsidR="00E801DA" w14:paraId="146947F0" w14:textId="77777777" w:rsidTr="00E801DA">
        <w:tc>
          <w:tcPr>
            <w:tcW w:w="3336" w:type="dxa"/>
          </w:tcPr>
          <w:p w14:paraId="2441B790" w14:textId="1EFD69A7" w:rsidR="00E801DA" w:rsidRDefault="00E801DA" w:rsidP="00E801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 surplus</w:t>
            </w:r>
            <w:r w:rsidR="00343C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after depreciation</w:t>
            </w:r>
          </w:p>
          <w:p w14:paraId="6EB78B2E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263517D" w14:textId="7F8D572B" w:rsidR="00E801DA" w:rsidRPr="001D02A7" w:rsidRDefault="00C04AE2" w:rsidP="00343C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3,197.9</w:t>
            </w:r>
            <w:r w:rsidR="001D02A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16" w:type="dxa"/>
          </w:tcPr>
          <w:p w14:paraId="0739D080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500078CB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D26E9B9" w14:textId="77777777" w:rsidR="00E801DA" w:rsidRDefault="00E801DA">
            <w:pPr>
              <w:rPr>
                <w:rFonts w:ascii="Arial" w:hAnsi="Arial" w:cs="Arial"/>
              </w:rPr>
            </w:pPr>
          </w:p>
        </w:tc>
      </w:tr>
      <w:tr w:rsidR="00E801DA" w14:paraId="6AB2FBEF" w14:textId="77777777" w:rsidTr="00E801DA">
        <w:tc>
          <w:tcPr>
            <w:tcW w:w="3336" w:type="dxa"/>
          </w:tcPr>
          <w:p w14:paraId="25F98061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FBED9EF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07BB97B8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2B824EB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D6D1241" w14:textId="77777777" w:rsidR="00E801DA" w:rsidRDefault="00E801DA">
            <w:pPr>
              <w:rPr>
                <w:rFonts w:ascii="Arial" w:hAnsi="Arial" w:cs="Arial"/>
              </w:rPr>
            </w:pPr>
          </w:p>
        </w:tc>
      </w:tr>
      <w:tr w:rsidR="00E801DA" w14:paraId="4F5C4181" w14:textId="77777777" w:rsidTr="00E801DA">
        <w:tc>
          <w:tcPr>
            <w:tcW w:w="3336" w:type="dxa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E801DA" w14:paraId="7B78CC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E211A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Balance Sheet</w:t>
                  </w:r>
                </w:p>
              </w:tc>
            </w:tr>
            <w:tr w:rsidR="00E801DA" w14:paraId="2468F8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D72C6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6106934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51BC0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4BF68ADB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DE928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Fixed Assets</w:t>
                  </w:r>
                </w:p>
              </w:tc>
            </w:tr>
            <w:tr w:rsidR="00E801DA" w14:paraId="634F93C8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9DFE8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Debtors</w:t>
                  </w:r>
                </w:p>
              </w:tc>
            </w:tr>
            <w:tr w:rsidR="00E801DA" w14:paraId="3D7950A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54AF3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3DB77232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8D52F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Cash at Bank</w:t>
                  </w:r>
                </w:p>
              </w:tc>
            </w:tr>
            <w:tr w:rsidR="00E801DA" w14:paraId="698268B9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4C766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Creditors</w:t>
                  </w:r>
                </w:p>
              </w:tc>
            </w:tr>
            <w:tr w:rsidR="00E801DA" w14:paraId="363F5C38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864C9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Net assets less liabilities</w:t>
                  </w:r>
                </w:p>
              </w:tc>
            </w:tr>
            <w:tr w:rsidR="00E801DA" w14:paraId="1BCD1D32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1AB15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5A3B08F3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5D577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Reserves</w:t>
                  </w:r>
                </w:p>
              </w:tc>
            </w:tr>
          </w:tbl>
          <w:p w14:paraId="6B7E2C31" w14:textId="77777777" w:rsidR="00E801DA" w:rsidRDefault="00E801DA" w:rsidP="00E801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Balance Sheet</w:t>
            </w:r>
          </w:p>
          <w:p w14:paraId="6F77E25A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75"/>
            </w:tblGrid>
            <w:tr w:rsidR="00E801DA" w14:paraId="04D238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7ACEF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Opening </w:t>
                  </w:r>
                </w:p>
              </w:tc>
            </w:tr>
            <w:tr w:rsidR="00E801DA" w14:paraId="4E4CCAE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DB4D" w14:textId="7BDE1322" w:rsidR="00E801DA" w:rsidRDefault="00E801DA" w:rsidP="00E801D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01/01/202</w:t>
                  </w:r>
                  <w:r w:rsidR="00260E31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</w:tr>
            <w:tr w:rsidR="00E801DA" w14:paraId="40184A7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FCC2A" w14:textId="77777777" w:rsidR="00E801DA" w:rsidRDefault="00E801DA" w:rsidP="00E801D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77F7D2D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D7D96" w14:textId="7E39826C" w:rsidR="00E801DA" w:rsidRDefault="00C04AE2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112</w:t>
                  </w:r>
                  <w:r w:rsidR="00E801DA">
                    <w:rPr>
                      <w:rFonts w:ascii="Calibri" w:hAnsi="Calibri" w:cs="Calibri"/>
                      <w:color w:val="000000"/>
                    </w:rPr>
                    <w:t>.00</w:t>
                  </w:r>
                </w:p>
              </w:tc>
            </w:tr>
            <w:tr w:rsidR="00E801DA" w14:paraId="7A816C0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03295" w14:textId="571AC7B6" w:rsidR="00E801DA" w:rsidRDefault="00E801DA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6F16713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AF42E" w14:textId="77777777" w:rsidR="00E801DA" w:rsidRDefault="00E801DA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4B46194D" w14:textId="77777777" w:rsidTr="00C04AE2">
              <w:trPr>
                <w:trHeight w:val="19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2F38C" w14:textId="0F950793" w:rsidR="00E801DA" w:rsidRDefault="00C04AE2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19,128.51</w:t>
                  </w:r>
                </w:p>
              </w:tc>
            </w:tr>
            <w:tr w:rsidR="00E801DA" w14:paraId="131336E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577D6" w14:textId="2A2F0263" w:rsidR="00E801DA" w:rsidRDefault="009A5FAB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0D7B050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B54AC" w14:textId="77777777" w:rsidR="00C04AE2" w:rsidRDefault="00C04AE2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19,128.51</w:t>
                  </w:r>
                </w:p>
                <w:p w14:paraId="632E979B" w14:textId="1BF13F41" w:rsidR="00E801DA" w:rsidRDefault="00E801DA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219427C9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CB0B7" w14:textId="77777777" w:rsidR="00E801DA" w:rsidRDefault="00E801DA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2F1F7E7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7128D" w14:textId="7C772993" w:rsidR="00E801DA" w:rsidRDefault="000D6616" w:rsidP="00C04AE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19,240.51</w:t>
                  </w:r>
                </w:p>
              </w:tc>
            </w:tr>
          </w:tbl>
          <w:p w14:paraId="6533916D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E801DA" w14:paraId="40FA930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5A1BC" w14:textId="77777777" w:rsidR="00E801DA" w:rsidRDefault="00E801DA" w:rsidP="00E801DA"/>
              </w:tc>
            </w:tr>
            <w:tr w:rsidR="00E801DA" w14:paraId="25C30B2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70BF8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32AECD8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8E45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0134676A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E7892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2B58F27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FF00D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2B2F1EE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9EEE9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Income </w:t>
                  </w:r>
                </w:p>
              </w:tc>
            </w:tr>
            <w:tr w:rsidR="00E801DA" w14:paraId="2562CC7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1A84F" w14:textId="55C22EE1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C04AE2">
                    <w:rPr>
                      <w:rFonts w:ascii="Calibri" w:hAnsi="Calibri" w:cs="Calibri"/>
                      <w:color w:val="000000"/>
                    </w:rPr>
                    <w:t>7,942.00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E801DA" w14:paraId="08B55A2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AF567" w14:textId="60D35E4D" w:rsidR="00E801DA" w:rsidRDefault="009A5FAB" w:rsidP="009A5FA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078C4585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FFC3C" w14:textId="595FEE3F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0D6616">
                    <w:rPr>
                      <w:rFonts w:ascii="Calibri" w:hAnsi="Calibri" w:cs="Calibri"/>
                      <w:color w:val="000000"/>
                    </w:rPr>
                    <w:t>7,942.00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E801DA" w14:paraId="43A8D6CF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3A9E1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6B56096F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59446" w14:textId="075F75C9" w:rsidR="00E801DA" w:rsidRDefault="009A5FAB" w:rsidP="009A5FA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3,197.90</w:t>
                  </w:r>
                </w:p>
              </w:tc>
            </w:tr>
          </w:tbl>
          <w:p w14:paraId="065EF0D2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tbl>
            <w:tblPr>
              <w:tblW w:w="1340" w:type="dxa"/>
              <w:tblLook w:val="04A0" w:firstRow="1" w:lastRow="0" w:firstColumn="1" w:lastColumn="0" w:noHBand="0" w:noVBand="1"/>
            </w:tblPr>
            <w:tblGrid>
              <w:gridCol w:w="1472"/>
            </w:tblGrid>
            <w:tr w:rsidR="00E801DA" w14:paraId="23854BB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430EA" w14:textId="77777777" w:rsidR="00E801DA" w:rsidRDefault="00E801DA" w:rsidP="00E801DA"/>
              </w:tc>
            </w:tr>
            <w:tr w:rsidR="00E801DA" w14:paraId="2EF2885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662A1" w14:textId="77777777" w:rsidR="00E801DA" w:rsidRDefault="00E801DA" w:rsidP="00E8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801DA" w14:paraId="2C76D85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540E2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Depreciation</w:t>
                  </w:r>
                </w:p>
              </w:tc>
            </w:tr>
            <w:tr w:rsidR="00E801DA" w14:paraId="7E06983C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5A0CC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(112.00)</w:t>
                  </w:r>
                </w:p>
              </w:tc>
            </w:tr>
            <w:tr w:rsidR="00E801DA" w14:paraId="6CB3ABE2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B25BD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-   </w:t>
                  </w:r>
                </w:p>
              </w:tc>
            </w:tr>
            <w:tr w:rsidR="00E801DA" w14:paraId="01722189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5F057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Expenditure</w:t>
                  </w:r>
                </w:p>
              </w:tc>
            </w:tr>
            <w:tr w:rsidR="00E801DA" w14:paraId="6884BED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D35C7" w14:textId="52BCBE00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</w:t>
                  </w:r>
                  <w:r w:rsidR="000D6616">
                    <w:rPr>
                      <w:rFonts w:ascii="Calibri" w:hAnsi="Calibri" w:cs="Calibri"/>
                      <w:color w:val="000000"/>
                    </w:rPr>
                    <w:t>4,632.10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E801DA" w14:paraId="6B60723F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99E73" w14:textId="67B30AB5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58598DAB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BDE3C" w14:textId="5AAEA5EF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</w:t>
                  </w:r>
                  <w:r w:rsidR="000D6616">
                    <w:rPr>
                      <w:rFonts w:ascii="Calibri" w:hAnsi="Calibri" w:cs="Calibri"/>
                      <w:color w:val="000000"/>
                    </w:rPr>
                    <w:t>4,632.10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E801DA" w14:paraId="6055ED53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CCC48" w14:textId="77777777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1E90CEF1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E7D11" w14:textId="63EBB845" w:rsidR="00E801DA" w:rsidRDefault="009A5FAB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</w:tbl>
          <w:p w14:paraId="03496330" w14:textId="77777777" w:rsidR="00E801DA" w:rsidRDefault="00E801D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75"/>
            </w:tblGrid>
            <w:tr w:rsidR="00E801DA" w14:paraId="3904312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500FF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Closing</w:t>
                  </w:r>
                </w:p>
              </w:tc>
            </w:tr>
            <w:tr w:rsidR="00E801DA" w14:paraId="1724C6D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E31AE" w14:textId="16B3CCC1" w:rsidR="00E801DA" w:rsidRDefault="00E801DA" w:rsidP="00E801D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31/12/202</w:t>
                  </w:r>
                  <w:r w:rsidR="001D02A7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</w:tr>
            <w:tr w:rsidR="00E801DA" w14:paraId="58C7B5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DE06D" w14:textId="77777777" w:rsidR="00E801DA" w:rsidRDefault="00E801DA" w:rsidP="00E801D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4059AA8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C6C76" w14:textId="637CECBC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</w:t>
                  </w:r>
                </w:p>
              </w:tc>
            </w:tr>
            <w:tr w:rsidR="00E801DA" w14:paraId="18964F9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0F290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-   </w:t>
                  </w:r>
                </w:p>
              </w:tc>
            </w:tr>
            <w:tr w:rsidR="00E801DA" w14:paraId="0FB266F6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8F095" w14:textId="77777777" w:rsidR="00E801DA" w:rsidRDefault="00E801DA" w:rsidP="00E801D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7D4A0F78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4B53F" w14:textId="27428F6E" w:rsidR="00E801DA" w:rsidRDefault="000D6616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22,438.41</w:t>
                  </w:r>
                </w:p>
              </w:tc>
            </w:tr>
            <w:tr w:rsidR="00E801DA" w14:paraId="4B26C27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069C7" w14:textId="77693097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E801DA" w14:paraId="4429C800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E705F" w14:textId="7932921C" w:rsidR="00E801DA" w:rsidRDefault="000D6616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22,438.41</w:t>
                  </w:r>
                </w:p>
              </w:tc>
            </w:tr>
            <w:tr w:rsidR="00E801DA" w14:paraId="6B44D521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A7986" w14:textId="77777777" w:rsidR="00E801DA" w:rsidRDefault="00E801DA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801DA" w14:paraId="0F4FF672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14FD2" w14:textId="241C315D" w:rsidR="00E801DA" w:rsidRDefault="000D6616" w:rsidP="000D6616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22,438.41</w:t>
                  </w:r>
                </w:p>
              </w:tc>
            </w:tr>
          </w:tbl>
          <w:p w14:paraId="316ED313" w14:textId="77777777" w:rsidR="00E801DA" w:rsidRDefault="00E801DA">
            <w:pPr>
              <w:rPr>
                <w:rFonts w:ascii="Arial" w:hAnsi="Arial" w:cs="Arial"/>
              </w:rPr>
            </w:pPr>
          </w:p>
        </w:tc>
      </w:tr>
    </w:tbl>
    <w:p w14:paraId="46CDB55E" w14:textId="5CB3B243" w:rsidR="00E801DA" w:rsidRDefault="00E801DA">
      <w:pPr>
        <w:rPr>
          <w:rFonts w:ascii="Arial" w:hAnsi="Arial" w:cs="Arial"/>
        </w:rPr>
      </w:pPr>
    </w:p>
    <w:p w14:paraId="74CA8961" w14:textId="77777777" w:rsidR="00E801DA" w:rsidRPr="00804935" w:rsidRDefault="00E801DA">
      <w:pPr>
        <w:rPr>
          <w:rFonts w:ascii="Arial" w:hAnsi="Arial" w:cs="Arial"/>
        </w:rPr>
      </w:pPr>
    </w:p>
    <w:sectPr w:rsidR="00E801DA" w:rsidRPr="00804935" w:rsidSect="00113F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35"/>
    <w:rsid w:val="000B0AD5"/>
    <w:rsid w:val="000D6616"/>
    <w:rsid w:val="00113FA8"/>
    <w:rsid w:val="001D02A7"/>
    <w:rsid w:val="00260E31"/>
    <w:rsid w:val="002A4462"/>
    <w:rsid w:val="0032654F"/>
    <w:rsid w:val="00343C47"/>
    <w:rsid w:val="00376D61"/>
    <w:rsid w:val="00386CFD"/>
    <w:rsid w:val="0039707E"/>
    <w:rsid w:val="003B4DB7"/>
    <w:rsid w:val="003E6E9D"/>
    <w:rsid w:val="00496E1A"/>
    <w:rsid w:val="0051462E"/>
    <w:rsid w:val="00526AE4"/>
    <w:rsid w:val="005302DB"/>
    <w:rsid w:val="0067156F"/>
    <w:rsid w:val="0074219B"/>
    <w:rsid w:val="007B69E8"/>
    <w:rsid w:val="00804935"/>
    <w:rsid w:val="00900119"/>
    <w:rsid w:val="009A5FAB"/>
    <w:rsid w:val="00A905B5"/>
    <w:rsid w:val="00B63A41"/>
    <w:rsid w:val="00C04AE2"/>
    <w:rsid w:val="00C12FD6"/>
    <w:rsid w:val="00CE31D3"/>
    <w:rsid w:val="00D0416B"/>
    <w:rsid w:val="00D43A0A"/>
    <w:rsid w:val="00DE64B2"/>
    <w:rsid w:val="00E12B0E"/>
    <w:rsid w:val="00E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296C9"/>
  <w15:chartTrackingRefBased/>
  <w15:docId w15:val="{A7BF38D7-76D4-A644-892C-EC6D4B9A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arundale</dc:creator>
  <cp:keywords/>
  <dc:description/>
  <cp:lastModifiedBy>david arundale</cp:lastModifiedBy>
  <cp:revision>10</cp:revision>
  <dcterms:created xsi:type="dcterms:W3CDTF">2021-03-22T11:21:00Z</dcterms:created>
  <dcterms:modified xsi:type="dcterms:W3CDTF">2022-01-07T11:46:00Z</dcterms:modified>
</cp:coreProperties>
</file>